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3518"/>
        </w:tabs>
        <w:kinsoku w:val="0"/>
        <w:wordWrap/>
        <w:overflowPunct/>
        <w:topLinePunct w:val="0"/>
        <w:autoSpaceDE w:val="0"/>
        <w:autoSpaceDN w:val="0"/>
        <w:bidi w:val="0"/>
        <w:adjustRightInd w:val="0"/>
        <w:snapToGrid w:val="0"/>
        <w:spacing w:line="300" w:lineRule="auto"/>
        <w:jc w:val="center"/>
        <w:textAlignment w:val="baseline"/>
        <w:rPr>
          <w:rFonts w:hint="eastAsia" w:ascii="黑体" w:hAnsi="黑体" w:eastAsia="黑体" w:cs="黑体"/>
          <w:spacing w:val="-2"/>
          <w:sz w:val="44"/>
          <w:szCs w:val="44"/>
        </w:rPr>
      </w:pPr>
      <w:r>
        <w:rPr>
          <w:rFonts w:hint="eastAsia" w:ascii="黑体" w:hAnsi="黑体" w:eastAsia="黑体" w:cs="黑体"/>
          <w:spacing w:val="-2"/>
          <w:sz w:val="44"/>
          <w:szCs w:val="44"/>
        </w:rPr>
        <w:t>晋江市市场监督管理局</w:t>
      </w:r>
    </w:p>
    <w:p>
      <w:pPr>
        <w:keepNext w:val="0"/>
        <w:keepLines w:val="0"/>
        <w:pageBreakBefore w:val="0"/>
        <w:widowControl/>
        <w:tabs>
          <w:tab w:val="left" w:pos="3518"/>
        </w:tabs>
        <w:kinsoku w:val="0"/>
        <w:wordWrap/>
        <w:overflowPunct/>
        <w:topLinePunct w:val="0"/>
        <w:autoSpaceDE w:val="0"/>
        <w:autoSpaceDN w:val="0"/>
        <w:bidi w:val="0"/>
        <w:adjustRightInd w:val="0"/>
        <w:snapToGrid w:val="0"/>
        <w:spacing w:line="300" w:lineRule="auto"/>
        <w:jc w:val="center"/>
        <w:textAlignment w:val="baseline"/>
        <w:rPr>
          <w:rFonts w:hint="eastAsia" w:ascii="黑体" w:hAnsi="黑体" w:eastAsia="黑体" w:cs="黑体"/>
          <w:sz w:val="44"/>
          <w:szCs w:val="44"/>
        </w:rPr>
      </w:pPr>
      <w:r>
        <w:rPr>
          <w:rFonts w:hint="eastAsia" w:ascii="黑体" w:hAnsi="黑体" w:eastAsia="黑体" w:cs="黑体"/>
          <w:spacing w:val="-1"/>
          <w:sz w:val="44"/>
          <w:szCs w:val="44"/>
        </w:rPr>
        <w:t>行政</w:t>
      </w:r>
      <w:r>
        <w:rPr>
          <w:rFonts w:hint="eastAsia" w:ascii="黑体" w:hAnsi="黑体" w:eastAsia="黑体" w:cs="黑体"/>
          <w:spacing w:val="-1"/>
          <w:sz w:val="44"/>
          <w:szCs w:val="44"/>
          <w:lang w:eastAsia="zh-CN"/>
        </w:rPr>
        <w:t>处</w:t>
      </w:r>
      <w:r>
        <w:rPr>
          <w:rFonts w:hint="eastAsia" w:ascii="黑体" w:hAnsi="黑体" w:eastAsia="黑体" w:cs="黑体"/>
          <w:spacing w:val="-1"/>
          <w:sz w:val="44"/>
          <w:szCs w:val="44"/>
        </w:rPr>
        <w:t>罚决定书</w:t>
      </w:r>
    </w:p>
    <w:p>
      <w:pPr>
        <w:keepNext w:val="0"/>
        <w:keepLines w:val="0"/>
        <w:pageBreakBefore w:val="0"/>
        <w:widowControl/>
        <w:tabs>
          <w:tab w:val="left" w:pos="2725"/>
        </w:tabs>
        <w:kinsoku w:val="0"/>
        <w:wordWrap/>
        <w:overflowPunct/>
        <w:topLinePunct w:val="0"/>
        <w:autoSpaceDE w:val="0"/>
        <w:autoSpaceDN w:val="0"/>
        <w:bidi w:val="0"/>
        <w:adjustRightInd w:val="0"/>
        <w:snapToGrid w:val="0"/>
        <w:spacing w:before="38" w:line="300" w:lineRule="auto"/>
        <w:ind w:firstLine="2219"/>
        <w:textAlignment w:val="baseline"/>
        <w:rPr>
          <w:rFonts w:ascii="仿宋" w:hAnsi="仿宋" w:eastAsia="仿宋" w:cs="仿宋"/>
          <w:spacing w:val="-7"/>
          <w:sz w:val="32"/>
          <w:szCs w:val="32"/>
        </w:rPr>
      </w:pPr>
      <w:r>
        <w:rPr>
          <w:rFonts w:hint="eastAsia" w:ascii="仿宋" w:hAnsi="仿宋" w:eastAsia="仿宋" w:cs="仿宋"/>
          <w:spacing w:val="-7"/>
          <w:sz w:val="32"/>
          <w:szCs w:val="32"/>
        </w:rPr>
        <w:t>晋市监</w:t>
      </w:r>
      <w:r>
        <w:rPr>
          <w:rFonts w:hint="eastAsia" w:ascii="仿宋" w:hAnsi="仿宋" w:eastAsia="仿宋" w:cs="仿宋"/>
          <w:spacing w:val="-7"/>
          <w:sz w:val="32"/>
          <w:szCs w:val="32"/>
          <w:lang w:eastAsia="zh-CN"/>
        </w:rPr>
        <w:t>处罚</w:t>
      </w:r>
      <w:r>
        <w:rPr>
          <w:rFonts w:hint="eastAsia" w:ascii="仿宋" w:hAnsi="仿宋" w:eastAsia="仿宋" w:cs="仿宋"/>
          <w:spacing w:val="-7"/>
          <w:sz w:val="32"/>
          <w:szCs w:val="32"/>
        </w:rPr>
        <w:t>〔202</w:t>
      </w:r>
      <w:r>
        <w:rPr>
          <w:rFonts w:hint="eastAsia" w:ascii="仿宋" w:hAnsi="仿宋" w:eastAsia="仿宋" w:cs="仿宋"/>
          <w:spacing w:val="-7"/>
          <w:sz w:val="32"/>
          <w:szCs w:val="32"/>
          <w:lang w:val="en-US" w:eastAsia="zh-CN"/>
        </w:rPr>
        <w:t>4</w:t>
      </w:r>
      <w:r>
        <w:rPr>
          <w:rFonts w:hint="eastAsia" w:ascii="仿宋" w:hAnsi="仿宋" w:eastAsia="仿宋" w:cs="仿宋"/>
          <w:spacing w:val="-7"/>
          <w:sz w:val="32"/>
          <w:szCs w:val="32"/>
        </w:rPr>
        <w:t>〕10-</w:t>
      </w:r>
      <w:r>
        <w:rPr>
          <w:rFonts w:hint="eastAsia" w:ascii="仿宋" w:hAnsi="仿宋" w:eastAsia="仿宋" w:cs="仿宋"/>
          <w:spacing w:val="-7"/>
          <w:sz w:val="32"/>
          <w:szCs w:val="32"/>
          <w:lang w:val="en-US" w:eastAsia="zh-CN"/>
        </w:rPr>
        <w:t>061</w:t>
      </w:r>
      <w:r>
        <w:rPr>
          <w:rFonts w:hint="eastAsia" w:ascii="仿宋" w:hAnsi="仿宋" w:eastAsia="仿宋" w:cs="仿宋"/>
          <w:spacing w:val="-7"/>
          <w:sz w:val="32"/>
          <w:szCs w:val="32"/>
        </w:rPr>
        <w:t>号</w:t>
      </w:r>
    </w:p>
    <w:p>
      <w:pPr>
        <w:keepNext w:val="0"/>
        <w:keepLines w:val="0"/>
        <w:pageBreakBefore w:val="0"/>
        <w:widowControl/>
        <w:kinsoku w:val="0"/>
        <w:wordWrap/>
        <w:overflowPunct/>
        <w:topLinePunct w:val="0"/>
        <w:autoSpaceDE w:val="0"/>
        <w:autoSpaceDN w:val="0"/>
        <w:bidi w:val="0"/>
        <w:adjustRightInd w:val="0"/>
        <w:snapToGrid w:val="0"/>
        <w:spacing w:line="520" w:lineRule="exact"/>
        <w:jc w:val="both"/>
        <w:textAlignment w:val="baseline"/>
        <w:rPr>
          <w:rFonts w:ascii="仿宋" w:hAnsi="仿宋" w:eastAsia="仿宋" w:cs="仿宋"/>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20" w:lineRule="exact"/>
        <w:jc w:val="both"/>
        <w:textAlignment w:val="baseline"/>
        <w:rPr>
          <w:rFonts w:ascii="仿宋" w:hAnsi="仿宋" w:eastAsia="仿宋" w:cs="仿宋"/>
          <w:sz w:val="32"/>
          <w:szCs w:val="32"/>
        </w:rPr>
      </w:pPr>
      <w:r>
        <w:rPr>
          <w:rFonts w:ascii="仿宋" w:hAnsi="仿宋" w:eastAsia="仿宋" w:cs="仿宋"/>
          <w:sz w:val="32"/>
          <w:szCs w:val="32"/>
        </w:rPr>
        <w:t>当事人：</w:t>
      </w:r>
      <w:r>
        <w:rPr>
          <w:rFonts w:hint="eastAsia" w:ascii="仿宋_GB2312" w:hAnsi="仿宋" w:eastAsia="仿宋_GB2312" w:cs="仿宋_GB2312"/>
          <w:sz w:val="32"/>
          <w:szCs w:val="32"/>
          <w:lang w:val="en-US" w:eastAsia="zh-CN"/>
        </w:rPr>
        <w:t>晋江市</w:t>
      </w:r>
      <w:r>
        <w:rPr>
          <w:rFonts w:hint="eastAsia" w:ascii="仿宋_GB2312" w:hAnsi="仿宋" w:eastAsia="仿宋_GB2312" w:cs="仿宋_GB2312"/>
          <w:sz w:val="32"/>
          <w:szCs w:val="32"/>
        </w:rPr>
        <w:t>牙舒仕口腔诊所有限公司</w:t>
      </w:r>
      <w:r>
        <w:rPr>
          <w:rFonts w:hint="eastAsia" w:ascii="仿宋" w:hAnsi="仿宋" w:eastAsia="仿宋" w:cs="仿宋"/>
          <w:sz w:val="32"/>
          <w:szCs w:val="32"/>
        </w:rPr>
        <w:t xml:space="preserve">                    </w:t>
      </w:r>
      <w:r>
        <w:rPr>
          <w:rFonts w:ascii="仿宋" w:hAnsi="仿宋" w:eastAsia="仿宋" w:cs="仿宋"/>
          <w:sz w:val="32"/>
          <w:szCs w:val="32"/>
        </w:rPr>
        <w:t xml:space="preserve">                                             </w:t>
      </w:r>
    </w:p>
    <w:p>
      <w:pPr>
        <w:keepNext w:val="0"/>
        <w:keepLines w:val="0"/>
        <w:pageBreakBefore w:val="0"/>
        <w:widowControl/>
        <w:kinsoku w:val="0"/>
        <w:wordWrap/>
        <w:overflowPunct/>
        <w:topLinePunct w:val="0"/>
        <w:autoSpaceDE w:val="0"/>
        <w:autoSpaceDN w:val="0"/>
        <w:bidi w:val="0"/>
        <w:adjustRightInd w:val="0"/>
        <w:snapToGrid w:val="0"/>
        <w:spacing w:line="520" w:lineRule="exact"/>
        <w:jc w:val="both"/>
        <w:textAlignment w:val="baseline"/>
        <w:rPr>
          <w:rFonts w:ascii="仿宋" w:hAnsi="仿宋" w:eastAsia="仿宋" w:cs="仿宋"/>
          <w:sz w:val="32"/>
          <w:szCs w:val="32"/>
        </w:rPr>
      </w:pPr>
      <w:r>
        <w:rPr>
          <w:rFonts w:ascii="仿宋" w:hAnsi="仿宋" w:eastAsia="仿宋" w:cs="仿宋"/>
          <w:sz w:val="32"/>
          <w:szCs w:val="32"/>
        </w:rPr>
        <w:t>主体资格证照名称：</w:t>
      </w:r>
      <w:r>
        <w:rPr>
          <w:rFonts w:hint="eastAsia" w:ascii="仿宋" w:hAnsi="仿宋" w:eastAsia="仿宋" w:cs="仿宋"/>
          <w:sz w:val="32"/>
          <w:szCs w:val="32"/>
          <w:lang w:eastAsia="zh-CN"/>
        </w:rPr>
        <w:t>营业执照</w:t>
      </w:r>
      <w:r>
        <w:rPr>
          <w:rFonts w:hint="eastAsia" w:ascii="仿宋" w:hAnsi="仿宋" w:eastAsia="仿宋" w:cs="仿宋"/>
          <w:sz w:val="32"/>
          <w:szCs w:val="32"/>
        </w:rPr>
        <w:t xml:space="preserve">           </w:t>
      </w:r>
      <w:r>
        <w:rPr>
          <w:rFonts w:ascii="仿宋" w:hAnsi="仿宋" w:eastAsia="仿宋" w:cs="仿宋"/>
          <w:sz w:val="32"/>
          <w:szCs w:val="32"/>
        </w:rPr>
        <w:t xml:space="preserve"> </w:t>
      </w:r>
    </w:p>
    <w:p>
      <w:pPr>
        <w:keepNext w:val="0"/>
        <w:keepLines w:val="0"/>
        <w:pageBreakBefore w:val="0"/>
        <w:widowControl/>
        <w:kinsoku w:val="0"/>
        <w:wordWrap/>
        <w:overflowPunct/>
        <w:topLinePunct w:val="0"/>
        <w:autoSpaceDE w:val="0"/>
        <w:autoSpaceDN w:val="0"/>
        <w:bidi w:val="0"/>
        <w:adjustRightInd w:val="0"/>
        <w:snapToGrid w:val="0"/>
        <w:spacing w:line="520" w:lineRule="exact"/>
        <w:jc w:val="both"/>
        <w:textAlignment w:val="baseline"/>
        <w:rPr>
          <w:rFonts w:ascii="仿宋" w:hAnsi="仿宋" w:eastAsia="仿宋" w:cs="仿宋"/>
          <w:sz w:val="32"/>
          <w:szCs w:val="32"/>
        </w:rPr>
      </w:pPr>
      <w:r>
        <w:rPr>
          <w:rFonts w:ascii="仿宋" w:hAnsi="仿宋" w:eastAsia="仿宋" w:cs="仿宋"/>
          <w:sz w:val="32"/>
          <w:szCs w:val="32"/>
        </w:rPr>
        <w:t>统一社会信用代码：</w:t>
      </w:r>
      <w:r>
        <w:rPr>
          <w:rFonts w:hint="eastAsia" w:ascii="仿宋_GB2312" w:hAnsi="Times New Roman" w:eastAsia="仿宋_GB2312" w:cs="仿宋_GB2312"/>
          <w:kern w:val="1"/>
          <w:sz w:val="32"/>
          <w:szCs w:val="32"/>
        </w:rPr>
        <w:t>9</w:t>
      </w:r>
      <w:r>
        <w:rPr>
          <w:rFonts w:hint="eastAsia" w:ascii="仿宋_GB2312" w:eastAsia="仿宋_GB2312"/>
          <w:sz w:val="32"/>
          <w:szCs w:val="32"/>
        </w:rPr>
        <w:t>1350582MABRB7P93K</w:t>
      </w:r>
      <w:r>
        <w:rPr>
          <w:rFonts w:ascii="仿宋" w:hAnsi="仿宋" w:eastAsia="仿宋" w:cs="仿宋"/>
          <w:sz w:val="32"/>
          <w:szCs w:val="32"/>
        </w:rPr>
        <w:t xml:space="preserve">                                                   </w:t>
      </w:r>
    </w:p>
    <w:p>
      <w:pPr>
        <w:keepNext w:val="0"/>
        <w:keepLines w:val="0"/>
        <w:pageBreakBefore w:val="0"/>
        <w:widowControl/>
        <w:kinsoku w:val="0"/>
        <w:wordWrap/>
        <w:overflowPunct/>
        <w:topLinePunct w:val="0"/>
        <w:autoSpaceDE w:val="0"/>
        <w:autoSpaceDN w:val="0"/>
        <w:bidi w:val="0"/>
        <w:adjustRightInd w:val="0"/>
        <w:snapToGrid w:val="0"/>
        <w:spacing w:line="520" w:lineRule="exact"/>
        <w:jc w:val="both"/>
        <w:textAlignment w:val="baseline"/>
        <w:rPr>
          <w:rFonts w:ascii="仿宋" w:hAnsi="仿宋" w:eastAsia="仿宋" w:cs="仿宋"/>
          <w:sz w:val="32"/>
          <w:szCs w:val="32"/>
        </w:rPr>
      </w:pPr>
      <w:r>
        <w:rPr>
          <w:rFonts w:hint="eastAsia" w:ascii="仿宋_GB2312" w:hAnsi="仿宋" w:eastAsia="仿宋_GB2312" w:cs="仿宋_GB2312"/>
          <w:sz w:val="32"/>
          <w:szCs w:val="32"/>
          <w:u w:val="none"/>
        </w:rPr>
        <w:t>经营场所</w:t>
      </w:r>
      <w:r>
        <w:rPr>
          <w:rFonts w:ascii="仿宋" w:hAnsi="仿宋" w:eastAsia="仿宋" w:cs="仿宋"/>
          <w:sz w:val="32"/>
          <w:szCs w:val="32"/>
        </w:rPr>
        <w:t>：</w:t>
      </w:r>
      <w:r>
        <w:rPr>
          <w:rFonts w:hint="eastAsia" w:ascii="仿宋_GB2312" w:eastAsia="仿宋_GB2312"/>
          <w:sz w:val="32"/>
          <w:szCs w:val="32"/>
        </w:rPr>
        <w:t>晋江市深沪镇东垵社区环岛路</w:t>
      </w:r>
      <w:r>
        <w:rPr>
          <w:rFonts w:hint="eastAsia" w:ascii="仿宋" w:hAnsi="仿宋" w:eastAsia="仿宋" w:cs="仿宋"/>
          <w:sz w:val="32"/>
          <w:szCs w:val="32"/>
        </w:rPr>
        <w:t xml:space="preserve">  </w:t>
      </w:r>
      <w:r>
        <w:rPr>
          <w:rFonts w:ascii="仿宋" w:hAnsi="仿宋" w:eastAsia="仿宋" w:cs="仿宋"/>
          <w:sz w:val="32"/>
          <w:szCs w:val="32"/>
        </w:rPr>
        <w:t xml:space="preserve">                                       </w:t>
      </w:r>
    </w:p>
    <w:p>
      <w:pPr>
        <w:keepNext w:val="0"/>
        <w:keepLines w:val="0"/>
        <w:pageBreakBefore w:val="0"/>
        <w:widowControl/>
        <w:kinsoku w:val="0"/>
        <w:wordWrap/>
        <w:overflowPunct/>
        <w:topLinePunct w:val="0"/>
        <w:autoSpaceDE w:val="0"/>
        <w:autoSpaceDN w:val="0"/>
        <w:bidi w:val="0"/>
        <w:adjustRightInd w:val="0"/>
        <w:snapToGrid w:val="0"/>
        <w:spacing w:line="520" w:lineRule="exact"/>
        <w:jc w:val="both"/>
        <w:textAlignment w:val="baseline"/>
        <w:rPr>
          <w:rFonts w:ascii="仿宋" w:hAnsi="仿宋" w:eastAsia="仿宋" w:cs="仿宋"/>
          <w:sz w:val="32"/>
          <w:szCs w:val="32"/>
        </w:rPr>
      </w:pPr>
      <w:r>
        <w:rPr>
          <w:rFonts w:hint="eastAsia" w:ascii="仿宋_GB2312" w:eastAsia="仿宋_GB2312"/>
          <w:sz w:val="32"/>
          <w:szCs w:val="32"/>
          <w:lang w:eastAsia="zh-CN"/>
        </w:rPr>
        <w:t>法定代表人</w:t>
      </w:r>
      <w:r>
        <w:rPr>
          <w:rFonts w:hint="eastAsia" w:ascii="仿宋_GB2312" w:eastAsia="仿宋_GB2312"/>
          <w:sz w:val="32"/>
          <w:szCs w:val="32"/>
        </w:rPr>
        <w:t>：骆杰松</w:t>
      </w:r>
      <w:r>
        <w:rPr>
          <w:rFonts w:hint="eastAsia" w:ascii="仿宋" w:hAnsi="仿宋" w:eastAsia="仿宋" w:cs="仿宋"/>
          <w:spacing w:val="1"/>
          <w:sz w:val="32"/>
          <w:szCs w:val="32"/>
        </w:rPr>
        <w:t xml:space="preserve">                                        </w:t>
      </w:r>
      <w:r>
        <w:rPr>
          <w:rFonts w:hint="eastAsia" w:ascii="仿宋" w:hAnsi="仿宋" w:eastAsia="仿宋" w:cs="仿宋"/>
          <w:sz w:val="32"/>
          <w:szCs w:val="32"/>
        </w:rPr>
        <w:t xml:space="preserve">                                                       </w:t>
      </w:r>
      <w:r>
        <w:rPr>
          <w:rFonts w:ascii="仿宋" w:hAnsi="仿宋" w:eastAsia="仿宋" w:cs="仿宋"/>
          <w:sz w:val="32"/>
          <w:szCs w:val="32"/>
        </w:rPr>
        <w:t xml:space="preserve">  </w:t>
      </w:r>
    </w:p>
    <w:p>
      <w:pPr>
        <w:keepNext w:val="0"/>
        <w:keepLines w:val="0"/>
        <w:pageBreakBefore w:val="0"/>
        <w:widowControl/>
        <w:kinsoku/>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eastAsia="仿宋_GB2312"/>
          <w:sz w:val="32"/>
          <w:szCs w:val="32"/>
          <w:u w:val="none"/>
          <w:lang w:eastAsia="zh-CN"/>
        </w:rPr>
      </w:pPr>
      <w:r>
        <w:rPr>
          <w:rFonts w:hint="eastAsia" w:ascii="仿宋_GB2312" w:eastAsia="仿宋_GB2312"/>
          <w:sz w:val="32"/>
          <w:szCs w:val="32"/>
          <w:u w:val="none"/>
        </w:rPr>
        <w:t>2024年</w:t>
      </w:r>
      <w:r>
        <w:rPr>
          <w:rFonts w:hint="eastAsia" w:ascii="仿宋_GB2312" w:eastAsia="仿宋_GB2312"/>
          <w:sz w:val="32"/>
          <w:szCs w:val="32"/>
          <w:u w:val="none"/>
          <w:lang w:val="en-US" w:eastAsia="zh-CN"/>
        </w:rPr>
        <w:t>10</w:t>
      </w:r>
      <w:r>
        <w:rPr>
          <w:rFonts w:hint="eastAsia" w:ascii="仿宋_GB2312" w:eastAsia="仿宋_GB2312"/>
          <w:sz w:val="32"/>
          <w:szCs w:val="32"/>
          <w:u w:val="none"/>
        </w:rPr>
        <w:t>月</w:t>
      </w:r>
      <w:r>
        <w:rPr>
          <w:rFonts w:hint="eastAsia" w:ascii="仿宋_GB2312" w:eastAsia="仿宋_GB2312"/>
          <w:sz w:val="32"/>
          <w:szCs w:val="32"/>
          <w:u w:val="none"/>
          <w:lang w:val="en-US" w:eastAsia="zh-CN"/>
        </w:rPr>
        <w:t>24</w:t>
      </w:r>
      <w:r>
        <w:rPr>
          <w:rFonts w:hint="eastAsia" w:ascii="仿宋_GB2312" w:eastAsia="仿宋_GB2312"/>
          <w:sz w:val="32"/>
          <w:szCs w:val="32"/>
          <w:u w:val="none"/>
        </w:rPr>
        <w:t>日</w:t>
      </w:r>
      <w:r>
        <w:rPr>
          <w:rFonts w:hint="eastAsia" w:ascii="仿宋_GB2312" w:eastAsia="仿宋_GB2312"/>
          <w:sz w:val="32"/>
          <w:szCs w:val="32"/>
          <w:u w:val="none"/>
          <w:lang w:val="en-US" w:eastAsia="zh-CN"/>
        </w:rPr>
        <w:t>,本局深沪所执法人员在日常巡查中依法对当事人经营场所进行</w:t>
      </w:r>
      <w:r>
        <w:rPr>
          <w:rFonts w:hint="eastAsia" w:ascii="仿宋_GB2312" w:eastAsia="仿宋_GB2312"/>
          <w:sz w:val="32"/>
          <w:szCs w:val="32"/>
          <w:u w:val="none"/>
        </w:rPr>
        <w:t>执法</w:t>
      </w:r>
      <w:r>
        <w:rPr>
          <w:rFonts w:hint="eastAsia" w:ascii="仿宋_GB2312" w:eastAsia="仿宋_GB2312"/>
          <w:sz w:val="32"/>
          <w:szCs w:val="32"/>
          <w:u w:val="none"/>
          <w:lang w:val="en-US" w:eastAsia="zh-CN"/>
        </w:rPr>
        <w:t>检查，负责人骆杰松在场并配合检查，当事人现场直接接触无菌医疗器械的从</w:t>
      </w:r>
      <w:bookmarkStart w:id="1" w:name="_GoBack"/>
      <w:bookmarkEnd w:id="1"/>
      <w:r>
        <w:rPr>
          <w:rFonts w:hint="eastAsia" w:ascii="仿宋_GB2312" w:eastAsia="仿宋_GB2312"/>
          <w:sz w:val="32"/>
          <w:szCs w:val="32"/>
          <w:u w:val="none"/>
          <w:lang w:val="en-US" w:eastAsia="zh-CN"/>
        </w:rPr>
        <w:t>业人员骆杰松未能提供有效的健康证明材料。当事人的行为涉嫌违反《福建省药品和医疗器械流通监督管理办法》第二十七条的规定</w:t>
      </w:r>
      <w:r>
        <w:rPr>
          <w:rFonts w:hint="eastAsia" w:ascii="仿宋_GB2312" w:eastAsia="仿宋_GB2312"/>
          <w:sz w:val="32"/>
          <w:szCs w:val="32"/>
          <w:u w:val="none"/>
        </w:rPr>
        <w:t>。</w:t>
      </w:r>
    </w:p>
    <w:p>
      <w:pPr>
        <w:keepNext w:val="0"/>
        <w:keepLines w:val="0"/>
        <w:pageBreakBefore w:val="0"/>
        <w:widowControl/>
        <w:kinsoku/>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 w:hAnsi="仿宋" w:eastAsia="仿宋" w:cs="仿宋"/>
          <w:sz w:val="32"/>
          <w:szCs w:val="32"/>
        </w:rPr>
      </w:pPr>
      <w:r>
        <w:rPr>
          <w:rFonts w:hint="eastAsia" w:ascii="仿宋_GB2312" w:eastAsia="仿宋_GB2312"/>
          <w:sz w:val="32"/>
          <w:szCs w:val="32"/>
          <w:u w:val="none"/>
          <w:lang w:eastAsia="zh-CN"/>
        </w:rPr>
        <w:t>经查实，当事人</w:t>
      </w:r>
      <w:r>
        <w:rPr>
          <w:rFonts w:hint="eastAsia" w:ascii="仿宋_GB2312" w:eastAsia="仿宋_GB2312"/>
          <w:sz w:val="32"/>
          <w:szCs w:val="32"/>
          <w:u w:val="none"/>
          <w:lang w:val="en-US" w:eastAsia="zh-CN"/>
        </w:rPr>
        <w:t>持有营业执照及诊所备案信息表</w:t>
      </w:r>
      <w:r>
        <w:rPr>
          <w:rFonts w:hint="eastAsia" w:ascii="仿宋_GB2312" w:eastAsia="仿宋_GB2312"/>
          <w:sz w:val="32"/>
          <w:szCs w:val="32"/>
          <w:u w:val="none"/>
          <w:lang w:eastAsia="zh-CN"/>
        </w:rPr>
        <w:t>。2024年</w:t>
      </w:r>
      <w:r>
        <w:rPr>
          <w:rFonts w:hint="eastAsia" w:ascii="仿宋_GB2312" w:eastAsia="仿宋_GB2312"/>
          <w:sz w:val="32"/>
          <w:szCs w:val="32"/>
          <w:u w:val="none"/>
          <w:lang w:val="en-US" w:eastAsia="zh-CN"/>
        </w:rPr>
        <w:t>10</w:t>
      </w:r>
      <w:r>
        <w:rPr>
          <w:rFonts w:hint="eastAsia" w:ascii="仿宋_GB2312" w:eastAsia="仿宋_GB2312"/>
          <w:sz w:val="32"/>
          <w:szCs w:val="32"/>
          <w:u w:val="none"/>
          <w:lang w:eastAsia="zh-CN"/>
        </w:rPr>
        <w:t>月</w:t>
      </w:r>
      <w:r>
        <w:rPr>
          <w:rFonts w:hint="eastAsia" w:ascii="仿宋_GB2312" w:eastAsia="仿宋_GB2312"/>
          <w:sz w:val="32"/>
          <w:szCs w:val="32"/>
          <w:u w:val="none"/>
          <w:lang w:val="en-US" w:eastAsia="zh-CN"/>
        </w:rPr>
        <w:t>24</w:t>
      </w:r>
      <w:r>
        <w:rPr>
          <w:rFonts w:hint="eastAsia" w:ascii="仿宋_GB2312" w:eastAsia="仿宋_GB2312"/>
          <w:sz w:val="32"/>
          <w:szCs w:val="32"/>
          <w:u w:val="none"/>
          <w:lang w:eastAsia="zh-CN"/>
        </w:rPr>
        <w:t>日执法人员在当事人经营场所检查时，当事人</w:t>
      </w:r>
      <w:r>
        <w:rPr>
          <w:rFonts w:hint="eastAsia" w:ascii="仿宋_GB2312" w:eastAsia="仿宋_GB2312"/>
          <w:sz w:val="32"/>
          <w:szCs w:val="32"/>
          <w:u w:val="none"/>
          <w:lang w:val="en-US" w:eastAsia="zh-CN"/>
        </w:rPr>
        <w:t>直接接触无菌医疗器械的从业人员骆杰松</w:t>
      </w:r>
      <w:r>
        <w:rPr>
          <w:rFonts w:hint="eastAsia" w:ascii="仿宋_GB2312" w:eastAsia="仿宋_GB2312"/>
          <w:sz w:val="32"/>
          <w:szCs w:val="32"/>
          <w:u w:val="none"/>
          <w:lang w:eastAsia="zh-CN"/>
        </w:rPr>
        <w:t>未进行年度健康检查，无法提供有效健康证明。</w:t>
      </w:r>
    </w:p>
    <w:p>
      <w:pPr>
        <w:keepNext w:val="0"/>
        <w:keepLines w:val="0"/>
        <w:pageBreakBefore w:val="0"/>
        <w:widowControl/>
        <w:kinsoku/>
        <w:wordWrap/>
        <w:overflowPunct/>
        <w:topLinePunct w:val="0"/>
        <w:autoSpaceDE w:val="0"/>
        <w:autoSpaceDN w:val="0"/>
        <w:bidi w:val="0"/>
        <w:adjustRightInd w:val="0"/>
        <w:snapToGrid w:val="0"/>
        <w:spacing w:line="520" w:lineRule="exact"/>
        <w:ind w:firstLine="640" w:firstLineChars="200"/>
        <w:jc w:val="both"/>
        <w:textAlignment w:val="baseline"/>
        <w:rPr>
          <w:rFonts w:ascii="仿宋" w:hAnsi="仿宋" w:eastAsia="仿宋" w:cs="仿宋"/>
          <w:sz w:val="32"/>
          <w:szCs w:val="32"/>
        </w:rPr>
      </w:pPr>
      <w:r>
        <w:rPr>
          <w:rFonts w:hint="eastAsia" w:ascii="仿宋" w:hAnsi="仿宋" w:eastAsia="仿宋" w:cs="仿宋"/>
          <w:sz w:val="32"/>
          <w:szCs w:val="32"/>
        </w:rPr>
        <w:t>上述事实，主要有以下证据证明：</w:t>
      </w:r>
      <w:r>
        <w:rPr>
          <w:rFonts w:hint="eastAsia" w:ascii="仿宋" w:hAnsi="仿宋" w:eastAsia="仿宋" w:cs="仿宋"/>
          <w:sz w:val="32"/>
          <w:szCs w:val="32"/>
          <w:lang w:eastAsia="zh-CN"/>
        </w:rPr>
        <w:t>当事人营业执照、</w:t>
      </w:r>
      <w:r>
        <w:rPr>
          <w:rFonts w:hint="eastAsia" w:ascii="仿宋" w:hAnsi="仿宋" w:eastAsia="仿宋" w:cs="仿宋"/>
          <w:sz w:val="32"/>
          <w:szCs w:val="32"/>
          <w:lang w:val="en-US" w:eastAsia="zh-CN"/>
        </w:rPr>
        <w:t>诊所备案信息表</w:t>
      </w:r>
      <w:r>
        <w:rPr>
          <w:rFonts w:hint="eastAsia" w:ascii="仿宋" w:hAnsi="仿宋" w:eastAsia="仿宋" w:cs="仿宋"/>
          <w:sz w:val="32"/>
          <w:szCs w:val="32"/>
          <w:lang w:eastAsia="zh-CN"/>
        </w:rPr>
        <w:t>、法定代表人身份证</w:t>
      </w:r>
      <w:r>
        <w:rPr>
          <w:rFonts w:hint="eastAsia" w:ascii="仿宋" w:hAnsi="仿宋" w:eastAsia="仿宋" w:cs="仿宋"/>
          <w:sz w:val="32"/>
          <w:szCs w:val="32"/>
        </w:rPr>
        <w:t>复印件</w:t>
      </w:r>
      <w:r>
        <w:rPr>
          <w:rFonts w:hint="eastAsia" w:ascii="仿宋_GB2312" w:hAnsi="仿宋_GB2312" w:eastAsia="仿宋_GB2312" w:cs="仿宋_GB2312"/>
          <w:sz w:val="32"/>
          <w:szCs w:val="32"/>
          <w:lang w:eastAsia="zh-CN"/>
        </w:rPr>
        <w:t>；</w:t>
      </w:r>
      <w:r>
        <w:rPr>
          <w:rFonts w:hint="eastAsia" w:ascii="仿宋_GB2312" w:hAnsi="仿宋" w:eastAsia="仿宋_GB2312" w:cs="仿宋_GB2312"/>
          <w:sz w:val="32"/>
          <w:szCs w:val="32"/>
        </w:rPr>
        <w:t>现场检查笔录及照片</w:t>
      </w:r>
      <w:r>
        <w:rPr>
          <w:rFonts w:hint="eastAsia" w:ascii="仿宋_GB2312" w:hAnsi="仿宋" w:eastAsia="仿宋_GB2312" w:cs="仿宋_GB2312"/>
          <w:sz w:val="32"/>
          <w:szCs w:val="32"/>
          <w:lang w:eastAsia="zh-CN"/>
        </w:rPr>
        <w:t>；</w:t>
      </w:r>
      <w:r>
        <w:rPr>
          <w:rFonts w:hint="eastAsia" w:ascii="仿宋_GB2312" w:hAnsi="仿宋" w:eastAsia="仿宋_GB2312" w:cs="仿宋_GB2312"/>
          <w:sz w:val="32"/>
          <w:szCs w:val="32"/>
        </w:rPr>
        <w:t>询问笔录</w:t>
      </w:r>
      <w:r>
        <w:rPr>
          <w:rFonts w:hint="eastAsia" w:ascii="仿宋" w:hAnsi="仿宋" w:eastAsia="仿宋" w:cs="仿宋"/>
          <w:sz w:val="32"/>
          <w:szCs w:val="32"/>
        </w:rPr>
        <w:t>。</w:t>
      </w:r>
    </w:p>
    <w:p>
      <w:pPr>
        <w:keepNext w:val="0"/>
        <w:keepLines w:val="0"/>
        <w:pageBreakBefore w:val="0"/>
        <w:widowControl/>
        <w:kinsoku/>
        <w:wordWrap/>
        <w:overflowPunct/>
        <w:topLinePunct w:val="0"/>
        <w:autoSpaceDE w:val="0"/>
        <w:autoSpaceDN w:val="0"/>
        <w:bidi w:val="0"/>
        <w:adjustRightInd w:val="0"/>
        <w:snapToGrid w:val="0"/>
        <w:spacing w:line="520" w:lineRule="exact"/>
        <w:ind w:firstLine="640" w:firstLineChars="200"/>
        <w:jc w:val="both"/>
        <w:textAlignment w:val="baseline"/>
        <w:rPr>
          <w:rFonts w:ascii="仿宋" w:hAnsi="仿宋" w:eastAsia="仿宋" w:cs="仿宋"/>
          <w:sz w:val="32"/>
          <w:szCs w:val="32"/>
          <w:highlight w:val="none"/>
        </w:rPr>
      </w:pPr>
      <w:r>
        <w:rPr>
          <w:rFonts w:ascii="仿宋" w:hAnsi="仿宋" w:eastAsia="仿宋" w:cs="仿宋"/>
          <w:sz w:val="32"/>
          <w:szCs w:val="32"/>
          <w:highlight w:val="none"/>
        </w:rPr>
        <w:t>202</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val="en-US" w:eastAsia="zh-CN"/>
        </w:rPr>
        <w:t>11</w:t>
      </w:r>
      <w:r>
        <w:rPr>
          <w:rFonts w:hint="eastAsia" w:ascii="仿宋" w:hAnsi="仿宋" w:eastAsia="仿宋" w:cs="仿宋"/>
          <w:sz w:val="32"/>
          <w:szCs w:val="32"/>
          <w:highlight w:val="none"/>
        </w:rPr>
        <w:t>月</w:t>
      </w: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rPr>
        <w:t>日，本局向当事人送达了《行政处罚告知书》（晋市监</w:t>
      </w:r>
      <w:r>
        <w:rPr>
          <w:rFonts w:hint="eastAsia" w:ascii="仿宋" w:hAnsi="仿宋" w:eastAsia="仿宋" w:cs="仿宋"/>
          <w:sz w:val="32"/>
          <w:szCs w:val="32"/>
          <w:highlight w:val="none"/>
          <w:lang w:eastAsia="zh-CN"/>
        </w:rPr>
        <w:t>罚</w:t>
      </w:r>
      <w:r>
        <w:rPr>
          <w:rFonts w:hint="eastAsia" w:ascii="仿宋" w:hAnsi="仿宋" w:eastAsia="仿宋" w:cs="仿宋"/>
          <w:sz w:val="32"/>
          <w:szCs w:val="32"/>
          <w:highlight w:val="none"/>
        </w:rPr>
        <w:t>告〔</w:t>
      </w:r>
      <w:r>
        <w:rPr>
          <w:rFonts w:ascii="仿宋" w:hAnsi="仿宋" w:eastAsia="仿宋" w:cs="仿宋"/>
          <w:sz w:val="32"/>
          <w:szCs w:val="32"/>
          <w:highlight w:val="none"/>
        </w:rPr>
        <w:t>20</w:t>
      </w:r>
      <w:r>
        <w:rPr>
          <w:rFonts w:hint="eastAsia" w:ascii="仿宋" w:hAnsi="仿宋" w:eastAsia="仿宋" w:cs="仿宋"/>
          <w:sz w:val="32"/>
          <w:szCs w:val="32"/>
          <w:highlight w:val="none"/>
          <w:lang w:val="en-US" w:eastAsia="zh-CN"/>
        </w:rPr>
        <w:t>24</w:t>
      </w:r>
      <w:r>
        <w:rPr>
          <w:rFonts w:hint="eastAsia" w:ascii="仿宋" w:hAnsi="仿宋" w:eastAsia="仿宋" w:cs="仿宋"/>
          <w:sz w:val="32"/>
          <w:szCs w:val="32"/>
          <w:highlight w:val="none"/>
        </w:rPr>
        <w:t>〕</w:t>
      </w:r>
      <w:r>
        <w:rPr>
          <w:rFonts w:ascii="仿宋" w:hAnsi="仿宋" w:eastAsia="仿宋" w:cs="仿宋"/>
          <w:sz w:val="32"/>
          <w:szCs w:val="32"/>
          <w:highlight w:val="none"/>
        </w:rPr>
        <w:t>10-</w:t>
      </w:r>
      <w:r>
        <w:rPr>
          <w:rFonts w:hint="eastAsia" w:ascii="仿宋" w:hAnsi="仿宋" w:eastAsia="仿宋" w:cs="仿宋"/>
          <w:sz w:val="32"/>
          <w:szCs w:val="32"/>
          <w:highlight w:val="none"/>
          <w:lang w:val="en-US" w:eastAsia="zh-CN"/>
        </w:rPr>
        <w:t>073</w:t>
      </w:r>
      <w:r>
        <w:rPr>
          <w:rFonts w:hint="eastAsia" w:ascii="仿宋" w:hAnsi="仿宋" w:eastAsia="仿宋" w:cs="仿宋"/>
          <w:sz w:val="32"/>
          <w:szCs w:val="32"/>
          <w:highlight w:val="none"/>
        </w:rPr>
        <w:t>号），当事人在法定期限内未提出陈述、申辩。</w:t>
      </w:r>
    </w:p>
    <w:p>
      <w:pPr>
        <w:keepNext w:val="0"/>
        <w:keepLines w:val="0"/>
        <w:pageBreakBefore w:val="0"/>
        <w:widowControl/>
        <w:kinsoku/>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 w:eastAsia="仿宋_GB2312" w:cs="仿宋_GB2312"/>
          <w:sz w:val="32"/>
          <w:szCs w:val="32"/>
          <w:u w:val="none"/>
        </w:rPr>
      </w:pPr>
      <w:r>
        <w:rPr>
          <w:rFonts w:hint="eastAsia" w:ascii="仿宋" w:hAnsi="仿宋" w:eastAsia="仿宋" w:cs="仿宋"/>
          <w:sz w:val="32"/>
          <w:szCs w:val="32"/>
        </w:rPr>
        <w:t>本局认为：当事人</w:t>
      </w:r>
      <w:r>
        <w:rPr>
          <w:rFonts w:hint="eastAsia" w:ascii="仿宋" w:hAnsi="仿宋" w:eastAsia="仿宋" w:cs="仿宋"/>
          <w:sz w:val="32"/>
          <w:szCs w:val="32"/>
          <w:lang w:eastAsia="zh-CN"/>
        </w:rPr>
        <w:t>直接接触无菌医疗器械的从业人员未进行健康检查的行为，违反了《福建省药品和医疗器械流通监督管理办法》</w:t>
      </w:r>
      <w:bookmarkStart w:id="0" w:name="27"/>
      <w:r>
        <w:rPr>
          <w:rFonts w:hint="eastAsia" w:ascii="仿宋" w:hAnsi="仿宋" w:eastAsia="仿宋" w:cs="仿宋"/>
          <w:sz w:val="32"/>
          <w:szCs w:val="32"/>
          <w:lang w:eastAsia="zh-CN"/>
        </w:rPr>
        <w:t>第二十七条</w:t>
      </w:r>
      <w:bookmarkEnd w:id="0"/>
      <w:r>
        <w:rPr>
          <w:rFonts w:hint="eastAsia" w:ascii="仿宋" w:hAnsi="仿宋" w:eastAsia="仿宋" w:cs="仿宋"/>
          <w:sz w:val="32"/>
          <w:szCs w:val="32"/>
          <w:lang w:eastAsia="zh-CN"/>
        </w:rPr>
        <w:t>的规定，应当依据《福建省药品和医疗器械流通监督管理办法》第四十条第(三)项的规定给予行政处罚</w:t>
      </w:r>
      <w:r>
        <w:rPr>
          <w:rFonts w:hint="eastAsia" w:ascii="仿宋_GB2312" w:hAnsi="仿宋" w:eastAsia="仿宋_GB2312" w:cs="仿宋_GB2312"/>
          <w:sz w:val="32"/>
          <w:szCs w:val="32"/>
          <w:u w:val="none"/>
        </w:rPr>
        <w:t>。鉴于当事人积极配合市场监督管理部门调查，如实陈述违法事实并主动提供证据材料，</w:t>
      </w:r>
      <w:r>
        <w:rPr>
          <w:rFonts w:hint="eastAsia" w:ascii="仿宋_GB2312" w:hAnsi="仿宋" w:eastAsia="仿宋_GB2312" w:cs="仿宋_GB2312"/>
          <w:sz w:val="32"/>
          <w:szCs w:val="32"/>
          <w:u w:val="none"/>
          <w:lang w:eastAsia="zh-CN"/>
        </w:rPr>
        <w:t>符合</w:t>
      </w:r>
      <w:r>
        <w:rPr>
          <w:rFonts w:hint="eastAsia" w:ascii="仿宋_GB2312" w:hAnsi="仿宋" w:eastAsia="仿宋_GB2312" w:cs="仿宋_GB2312"/>
          <w:sz w:val="32"/>
          <w:szCs w:val="32"/>
          <w:u w:val="none"/>
        </w:rPr>
        <w:t>《福建省药品监管行政处罚裁量适用细则》第十一条第（</w:t>
      </w:r>
      <w:r>
        <w:rPr>
          <w:rFonts w:hint="eastAsia" w:ascii="仿宋_GB2312" w:hAnsi="仿宋" w:eastAsia="仿宋_GB2312" w:cs="仿宋_GB2312"/>
          <w:sz w:val="32"/>
          <w:szCs w:val="32"/>
          <w:u w:val="none"/>
          <w:lang w:eastAsia="zh-CN"/>
        </w:rPr>
        <w:t>二</w:t>
      </w:r>
      <w:r>
        <w:rPr>
          <w:rFonts w:hint="eastAsia" w:ascii="仿宋_GB2312" w:hAnsi="仿宋" w:eastAsia="仿宋_GB2312" w:cs="仿宋_GB2312"/>
          <w:sz w:val="32"/>
          <w:szCs w:val="32"/>
          <w:u w:val="none"/>
        </w:rPr>
        <w:t>）项予以从轻行政处罚的情形。</w:t>
      </w:r>
      <w:r>
        <w:rPr>
          <w:rFonts w:hint="eastAsia" w:ascii="仿宋_GB2312" w:hAnsi="仿宋" w:eastAsia="仿宋_GB2312" w:cs="仿宋_GB2312"/>
          <w:sz w:val="32"/>
          <w:szCs w:val="32"/>
          <w:u w:val="none"/>
          <w:lang w:eastAsia="zh-CN"/>
        </w:rPr>
        <w:t>依据《福建省药品和医疗器械流通监督管理办法》第四十条第(三)项</w:t>
      </w:r>
      <w:r>
        <w:rPr>
          <w:rFonts w:hint="eastAsia" w:ascii="仿宋_GB2312" w:hAnsi="仿宋" w:eastAsia="仿宋_GB2312" w:cs="仿宋_GB2312"/>
          <w:sz w:val="32"/>
          <w:szCs w:val="32"/>
          <w:u w:val="none"/>
        </w:rPr>
        <w:t>的规定，责令当事人改正违法行为，</w:t>
      </w:r>
      <w:r>
        <w:rPr>
          <w:rFonts w:hint="eastAsia" w:ascii="仿宋_GB2312" w:hAnsi="仿宋" w:eastAsia="仿宋_GB2312" w:cs="仿宋_GB2312"/>
          <w:sz w:val="32"/>
          <w:szCs w:val="32"/>
          <w:u w:val="none"/>
          <w:lang w:eastAsia="zh-CN"/>
        </w:rPr>
        <w:t>并</w:t>
      </w:r>
      <w:r>
        <w:rPr>
          <w:rFonts w:hint="eastAsia" w:ascii="仿宋_GB2312" w:hAnsi="仿宋" w:eastAsia="仿宋_GB2312" w:cs="仿宋_GB2312"/>
          <w:sz w:val="32"/>
          <w:szCs w:val="32"/>
          <w:u w:val="none"/>
        </w:rPr>
        <w:t>对当事人</w:t>
      </w:r>
      <w:r>
        <w:rPr>
          <w:rFonts w:hint="eastAsia" w:ascii="仿宋_GB2312" w:hAnsi="仿宋" w:eastAsia="仿宋_GB2312" w:cs="仿宋_GB2312"/>
          <w:sz w:val="32"/>
          <w:szCs w:val="32"/>
          <w:u w:val="none"/>
          <w:lang w:eastAsia="zh-CN"/>
        </w:rPr>
        <w:t>作出</w:t>
      </w:r>
      <w:r>
        <w:rPr>
          <w:rFonts w:hint="eastAsia" w:ascii="仿宋_GB2312" w:hAnsi="仿宋" w:eastAsia="仿宋_GB2312" w:cs="仿宋_GB2312"/>
          <w:sz w:val="32"/>
          <w:szCs w:val="32"/>
          <w:u w:val="none"/>
        </w:rPr>
        <w:t>处理如下：</w:t>
      </w:r>
    </w:p>
    <w:p>
      <w:pPr>
        <w:keepNext w:val="0"/>
        <w:keepLines w:val="0"/>
        <w:pageBreakBefore w:val="0"/>
        <w:widowControl/>
        <w:kinsoku/>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_GB2312" w:hAnsi="仿宋" w:eastAsia="仿宋_GB2312" w:cs="仿宋_GB2312"/>
          <w:sz w:val="32"/>
          <w:szCs w:val="32"/>
          <w:u w:val="none"/>
          <w:lang w:val="en-US" w:eastAsia="zh-CN"/>
        </w:rPr>
      </w:pPr>
      <w:r>
        <w:rPr>
          <w:rFonts w:hint="eastAsia" w:ascii="仿宋_GB2312" w:hAnsi="仿宋" w:eastAsia="仿宋_GB2312" w:cs="仿宋_GB2312"/>
          <w:sz w:val="32"/>
          <w:szCs w:val="32"/>
          <w:u w:val="none"/>
          <w:lang w:val="en-US" w:eastAsia="zh-CN"/>
        </w:rPr>
        <w:t>1、给予警告；</w:t>
      </w:r>
    </w:p>
    <w:p>
      <w:pPr>
        <w:keepNext w:val="0"/>
        <w:keepLines w:val="0"/>
        <w:pageBreakBefore w:val="0"/>
        <w:widowControl/>
        <w:kinsoku/>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 w:hAnsi="仿宋" w:eastAsia="仿宋" w:cs="仿宋"/>
          <w:sz w:val="32"/>
          <w:szCs w:val="32"/>
        </w:rPr>
      </w:pPr>
      <w:r>
        <w:rPr>
          <w:rFonts w:hint="eastAsia" w:ascii="仿宋_GB2312" w:hAnsi="仿宋" w:eastAsia="仿宋_GB2312" w:cs="仿宋_GB2312"/>
          <w:sz w:val="32"/>
          <w:szCs w:val="32"/>
          <w:u w:val="none"/>
          <w:lang w:val="en-US" w:eastAsia="zh-CN"/>
        </w:rPr>
        <w:t>2、</w:t>
      </w:r>
      <w:r>
        <w:rPr>
          <w:rFonts w:hint="eastAsia" w:ascii="仿宋_GB2312" w:hAnsi="仿宋" w:eastAsia="仿宋_GB2312" w:cs="仿宋_GB2312"/>
          <w:sz w:val="32"/>
          <w:szCs w:val="32"/>
          <w:u w:val="none"/>
        </w:rPr>
        <w:t>处以罚款2000元</w:t>
      </w:r>
      <w:r>
        <w:rPr>
          <w:rFonts w:hint="eastAsia" w:ascii="仿宋_GB2312" w:eastAsia="仿宋_GB2312"/>
          <w:sz w:val="32"/>
          <w:szCs w:val="32"/>
          <w:u w:val="none"/>
        </w:rPr>
        <w:t>。</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 w:hAnsi="仿宋" w:eastAsia="仿宋" w:cs="仿宋"/>
          <w:sz w:val="32"/>
          <w:szCs w:val="32"/>
        </w:rPr>
      </w:pPr>
      <w:r>
        <w:rPr>
          <w:rFonts w:hint="eastAsia" w:ascii="仿宋" w:hAnsi="仿宋" w:eastAsia="仿宋" w:cs="仿宋"/>
          <w:sz w:val="32"/>
          <w:szCs w:val="32"/>
        </w:rPr>
        <w:t>上述款项合计</w:t>
      </w:r>
      <w:r>
        <w:rPr>
          <w:rFonts w:hint="eastAsia" w:ascii="仿宋" w:hAnsi="仿宋" w:eastAsia="仿宋" w:cs="仿宋"/>
          <w:sz w:val="32"/>
          <w:szCs w:val="32"/>
          <w:lang w:val="en-US" w:eastAsia="zh-CN"/>
        </w:rPr>
        <w:t>2000</w:t>
      </w:r>
      <w:r>
        <w:rPr>
          <w:rFonts w:hint="eastAsia" w:ascii="仿宋" w:hAnsi="仿宋" w:eastAsia="仿宋" w:cs="仿宋"/>
          <w:sz w:val="32"/>
          <w:szCs w:val="32"/>
        </w:rPr>
        <w:t>元，</w:t>
      </w:r>
      <w:r>
        <w:rPr>
          <w:rFonts w:hint="eastAsia" w:ascii="仿宋" w:hAnsi="仿宋" w:eastAsia="仿宋" w:cs="仿宋"/>
          <w:sz w:val="32"/>
          <w:szCs w:val="32"/>
          <w:lang w:val="en-US" w:eastAsia="zh-CN"/>
        </w:rPr>
        <w:t>当事人应当自收到本决定书之日起十五日内，持福建省政府非税收入缴款通知书通过银行网点或电子支付系统缴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r>
        <w:rPr>
          <w:rFonts w:hint="eastAsia" w:ascii="仿宋" w:hAnsi="仿宋" w:eastAsia="仿宋" w:cs="仿宋"/>
          <w:sz w:val="32"/>
          <w:szCs w:val="32"/>
        </w:rPr>
        <w:t>。</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 w:hAnsi="仿宋" w:eastAsia="仿宋" w:cs="仿宋"/>
          <w:sz w:val="32"/>
          <w:szCs w:val="32"/>
        </w:rPr>
      </w:pPr>
      <w:r>
        <w:rPr>
          <w:rFonts w:hint="eastAsia" w:ascii="仿宋" w:hAnsi="仿宋" w:eastAsia="仿宋" w:cs="仿宋"/>
          <w:sz w:val="32"/>
          <w:szCs w:val="32"/>
        </w:rPr>
        <w:t>当事人如对本行政处罚决定不服，可在接到本行政处罚决定书之日起</w:t>
      </w:r>
      <w:r>
        <w:rPr>
          <w:rFonts w:hint="eastAsia" w:ascii="仿宋" w:hAnsi="仿宋" w:eastAsia="仿宋" w:cs="仿宋"/>
          <w:sz w:val="32"/>
          <w:szCs w:val="32"/>
          <w:lang w:val="en-US" w:eastAsia="zh-CN"/>
        </w:rPr>
        <w:t>六十</w:t>
      </w:r>
      <w:r>
        <w:rPr>
          <w:rFonts w:hint="eastAsia" w:ascii="仿宋" w:hAnsi="仿宋" w:eastAsia="仿宋" w:cs="仿宋"/>
          <w:sz w:val="32"/>
          <w:szCs w:val="32"/>
        </w:rPr>
        <w:t>日内向晋江市人民政府申请</w:t>
      </w:r>
      <w:r>
        <w:rPr>
          <w:rFonts w:hint="eastAsia" w:ascii="仿宋" w:hAnsi="仿宋" w:eastAsia="仿宋" w:cs="仿宋"/>
          <w:sz w:val="32"/>
          <w:szCs w:val="32"/>
          <w:lang w:eastAsia="zh-CN"/>
        </w:rPr>
        <w:t>行政</w:t>
      </w:r>
      <w:r>
        <w:rPr>
          <w:rFonts w:hint="eastAsia" w:ascii="仿宋" w:hAnsi="仿宋" w:eastAsia="仿宋" w:cs="仿宋"/>
          <w:sz w:val="32"/>
          <w:szCs w:val="32"/>
        </w:rPr>
        <w:t>复议，也可以</w:t>
      </w:r>
      <w:r>
        <w:rPr>
          <w:rFonts w:hint="eastAsia" w:ascii="仿宋" w:hAnsi="仿宋" w:eastAsia="仿宋" w:cs="仿宋"/>
          <w:sz w:val="32"/>
          <w:szCs w:val="32"/>
          <w:lang w:eastAsia="zh-CN"/>
        </w:rPr>
        <w:t>在</w:t>
      </w:r>
      <w:r>
        <w:rPr>
          <w:rFonts w:hint="eastAsia" w:ascii="仿宋" w:hAnsi="仿宋" w:eastAsia="仿宋" w:cs="仿宋"/>
          <w:sz w:val="32"/>
          <w:szCs w:val="32"/>
          <w:lang w:val="en-US" w:eastAsia="zh-CN"/>
        </w:rPr>
        <w:t>六</w:t>
      </w:r>
      <w:r>
        <w:rPr>
          <w:rFonts w:hint="eastAsia" w:ascii="仿宋" w:hAnsi="仿宋" w:eastAsia="仿宋" w:cs="仿宋"/>
          <w:sz w:val="32"/>
          <w:szCs w:val="32"/>
        </w:rPr>
        <w:t>个月内依法向人民法院提起行政诉讼。</w:t>
      </w:r>
      <w:r>
        <w:rPr>
          <w:rFonts w:hint="eastAsia" w:ascii="仿宋" w:hAnsi="仿宋" w:eastAsia="仿宋" w:cs="仿宋"/>
          <w:sz w:val="32"/>
          <w:szCs w:val="32"/>
          <w:lang w:eastAsia="zh-CN"/>
        </w:rPr>
        <w:t>申请行政复议或者提起行政诉讼期间，行政处罚不停止执行，法律、法规、规章另有规定的，从其规定。</w:t>
      </w:r>
      <w:r>
        <w:rPr>
          <w:rFonts w:hint="eastAsia" w:ascii="仿宋" w:hAnsi="仿宋" w:eastAsia="仿宋" w:cs="仿宋"/>
          <w:sz w:val="32"/>
          <w:szCs w:val="32"/>
        </w:rPr>
        <w:t>当事人在法定期限内不申请行政复议或者提起行政诉讼，又不履行本行政处罚决定的，我局将依法申请晋江市人民法院强制执行。</w:t>
      </w:r>
    </w:p>
    <w:p>
      <w:pPr>
        <w:keepNext w:val="0"/>
        <w:keepLines w:val="0"/>
        <w:pageBreakBefore w:val="0"/>
        <w:widowControl/>
        <w:kinsoku w:val="0"/>
        <w:wordWrap/>
        <w:overflowPunct/>
        <w:topLinePunct w:val="0"/>
        <w:autoSpaceDE w:val="0"/>
        <w:autoSpaceDN w:val="0"/>
        <w:bidi w:val="0"/>
        <w:adjustRightInd w:val="0"/>
        <w:snapToGrid w:val="0"/>
        <w:spacing w:line="520" w:lineRule="exact"/>
        <w:ind w:firstLine="640" w:firstLineChars="200"/>
        <w:jc w:val="both"/>
        <w:textAlignment w:val="baseline"/>
        <w:rPr>
          <w:rFonts w:hint="eastAsia" w:ascii="仿宋" w:hAnsi="仿宋" w:eastAsia="仿宋" w:cs="仿宋"/>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20" w:lineRule="exact"/>
        <w:jc w:val="both"/>
        <w:textAlignment w:val="baseline"/>
        <w:rPr>
          <w:rFonts w:hint="eastAsia" w:ascii="仿宋" w:hAnsi="仿宋" w:eastAsia="仿宋" w:cs="仿宋"/>
          <w:sz w:val="32"/>
          <w:szCs w:val="32"/>
        </w:rPr>
      </w:pPr>
    </w:p>
    <w:p>
      <w:pPr>
        <w:keepNext w:val="0"/>
        <w:keepLines w:val="0"/>
        <w:pageBreakBefore w:val="0"/>
        <w:widowControl/>
        <w:tabs>
          <w:tab w:val="left" w:pos="5667"/>
        </w:tabs>
        <w:kinsoku w:val="0"/>
        <w:wordWrap/>
        <w:overflowPunct/>
        <w:topLinePunct w:val="0"/>
        <w:autoSpaceDE w:val="0"/>
        <w:autoSpaceDN w:val="0"/>
        <w:bidi w:val="0"/>
        <w:adjustRightInd w:val="0"/>
        <w:snapToGrid w:val="0"/>
        <w:spacing w:line="520" w:lineRule="exact"/>
        <w:ind w:right="468" w:firstLine="624" w:firstLineChars="200"/>
        <w:jc w:val="right"/>
        <w:textAlignment w:val="baseline"/>
        <w:rPr>
          <w:rFonts w:ascii="仿宋" w:hAnsi="仿宋" w:eastAsia="仿宋" w:cs="仿宋"/>
          <w:spacing w:val="-4"/>
          <w:sz w:val="32"/>
          <w:szCs w:val="32"/>
        </w:rPr>
      </w:pPr>
      <w:r>
        <w:rPr>
          <w:rFonts w:hint="eastAsia" w:ascii="仿宋" w:hAnsi="仿宋" w:eastAsia="仿宋" w:cs="仿宋"/>
          <w:spacing w:val="-4"/>
          <w:sz w:val="32"/>
          <w:szCs w:val="32"/>
        </w:rPr>
        <w:t>晋</w:t>
      </w:r>
      <w:r>
        <w:rPr>
          <w:rFonts w:ascii="仿宋" w:hAnsi="仿宋" w:eastAsia="仿宋" w:cs="仿宋"/>
          <w:spacing w:val="-4"/>
          <w:sz w:val="32"/>
          <w:szCs w:val="32"/>
        </w:rPr>
        <w:t>江市市场监督管理局</w:t>
      </w:r>
    </w:p>
    <w:p>
      <w:pPr>
        <w:keepNext w:val="0"/>
        <w:keepLines w:val="0"/>
        <w:pageBreakBefore w:val="0"/>
        <w:widowControl/>
        <w:tabs>
          <w:tab w:val="left" w:pos="5667"/>
        </w:tabs>
        <w:kinsoku w:val="0"/>
        <w:wordWrap/>
        <w:overflowPunct/>
        <w:topLinePunct w:val="0"/>
        <w:autoSpaceDE w:val="0"/>
        <w:autoSpaceDN w:val="0"/>
        <w:bidi w:val="0"/>
        <w:adjustRightInd w:val="0"/>
        <w:snapToGrid w:val="0"/>
        <w:spacing w:line="520" w:lineRule="exact"/>
        <w:ind w:right="936" w:firstLine="624" w:firstLineChars="200"/>
        <w:jc w:val="center"/>
        <w:textAlignment w:val="baseline"/>
        <w:rPr>
          <w:rFonts w:ascii="仿宋" w:hAnsi="仿宋" w:eastAsia="仿宋" w:cs="仿宋"/>
          <w:sz w:val="32"/>
          <w:szCs w:val="32"/>
        </w:rPr>
      </w:pPr>
      <w:r>
        <w:rPr>
          <w:rFonts w:hint="eastAsia" w:ascii="仿宋" w:hAnsi="仿宋" w:eastAsia="仿宋" w:cs="仿宋"/>
          <w:spacing w:val="-4"/>
          <w:sz w:val="32"/>
          <w:szCs w:val="32"/>
          <w:lang w:val="en-US" w:eastAsia="zh-CN"/>
        </w:rPr>
        <w:t xml:space="preserve">                                 </w:t>
      </w:r>
      <w:r>
        <w:rPr>
          <w:rFonts w:hint="eastAsia" w:ascii="仿宋" w:hAnsi="仿宋" w:eastAsia="仿宋" w:cs="仿宋"/>
          <w:spacing w:val="-4"/>
          <w:sz w:val="32"/>
          <w:szCs w:val="32"/>
        </w:rPr>
        <w:t>202</w:t>
      </w:r>
      <w:r>
        <w:rPr>
          <w:rFonts w:hint="eastAsia" w:ascii="仿宋" w:hAnsi="仿宋" w:eastAsia="仿宋" w:cs="仿宋"/>
          <w:spacing w:val="-4"/>
          <w:sz w:val="32"/>
          <w:szCs w:val="32"/>
          <w:lang w:val="en-US" w:eastAsia="zh-CN"/>
        </w:rPr>
        <w:t>4</w:t>
      </w:r>
      <w:r>
        <w:rPr>
          <w:rFonts w:ascii="仿宋" w:hAnsi="仿宋" w:eastAsia="仿宋" w:cs="仿宋"/>
          <w:spacing w:val="-16"/>
          <w:sz w:val="32"/>
          <w:szCs w:val="32"/>
        </w:rPr>
        <w:t>年</w:t>
      </w:r>
      <w:r>
        <w:rPr>
          <w:rFonts w:hint="eastAsia" w:ascii="仿宋" w:hAnsi="仿宋" w:eastAsia="仿宋" w:cs="仿宋"/>
          <w:spacing w:val="-16"/>
          <w:sz w:val="32"/>
          <w:szCs w:val="32"/>
          <w:lang w:val="en-US" w:eastAsia="zh-CN"/>
        </w:rPr>
        <w:t>11</w:t>
      </w:r>
      <w:r>
        <w:rPr>
          <w:rFonts w:ascii="仿宋" w:hAnsi="仿宋" w:eastAsia="仿宋" w:cs="仿宋"/>
          <w:spacing w:val="-16"/>
          <w:sz w:val="32"/>
          <w:szCs w:val="32"/>
        </w:rPr>
        <w:t>月</w:t>
      </w:r>
      <w:r>
        <w:rPr>
          <w:rFonts w:hint="eastAsia" w:ascii="仿宋" w:hAnsi="仿宋" w:eastAsia="仿宋" w:cs="仿宋"/>
          <w:spacing w:val="24"/>
          <w:sz w:val="32"/>
          <w:szCs w:val="32"/>
          <w:lang w:val="en-US" w:eastAsia="zh-CN"/>
        </w:rPr>
        <w:t>18</w:t>
      </w:r>
      <w:r>
        <w:rPr>
          <w:rFonts w:ascii="仿宋" w:hAnsi="仿宋" w:eastAsia="仿宋" w:cs="仿宋"/>
          <w:spacing w:val="-16"/>
          <w:sz w:val="32"/>
          <w:szCs w:val="32"/>
        </w:rPr>
        <w:t>日</w:t>
      </w: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242" w:lineRule="auto"/>
        <w:rPr>
          <w:rFonts w:ascii="Microsoft JhengHei" w:eastAsiaTheme="minorEastAsia"/>
        </w:rPr>
      </w:pPr>
    </w:p>
    <w:p>
      <w:pPr>
        <w:spacing w:line="520" w:lineRule="exact"/>
        <w:ind w:firstLine="160" w:firstLineChars="50"/>
        <w:jc w:val="center"/>
        <w:rPr>
          <w:rFonts w:ascii="仿宋_GB2312" w:hAnsi="黑体" w:eastAsia="仿宋_GB2312" w:cs="Times New Roman"/>
          <w:sz w:val="32"/>
          <w:szCs w:val="32"/>
        </w:rPr>
      </w:pPr>
      <w:r>
        <w:rPr>
          <w:rFonts w:hint="eastAsia" w:ascii="仿宋_GB2312" w:hAnsi="黑体" w:eastAsia="仿宋_GB2312" w:cs="仿宋_GB2312"/>
          <w:sz w:val="32"/>
          <w:szCs w:val="32"/>
        </w:rPr>
        <w:t>（</w:t>
      </w:r>
      <w:r>
        <w:rPr>
          <w:rFonts w:hint="eastAsia" w:ascii="黑体" w:hAnsi="黑体" w:eastAsia="黑体" w:cs="黑体"/>
          <w:b/>
          <w:bCs/>
          <w:sz w:val="32"/>
          <w:szCs w:val="32"/>
        </w:rPr>
        <w:t>市场监督管理部门将依法向社会公示本行政处罚决定信息</w:t>
      </w:r>
      <w:r>
        <w:rPr>
          <w:rFonts w:hint="eastAsia" w:ascii="仿宋_GB2312" w:hAnsi="黑体" w:eastAsia="仿宋_GB2312" w:cs="仿宋_GB2312"/>
          <w:sz w:val="32"/>
          <w:szCs w:val="32"/>
        </w:rPr>
        <w:t>）</w:t>
      </w:r>
    </w:p>
    <w:p>
      <w:pPr>
        <w:spacing w:line="26" w:lineRule="exact"/>
        <w:textAlignment w:val="center"/>
      </w:pPr>
      <w:r>
        <w:drawing>
          <wp:inline distT="0" distB="0" distL="0" distR="0">
            <wp:extent cx="5605145" cy="45085"/>
            <wp:effectExtent l="0" t="0" r="0" b="0"/>
            <wp:docPr id="241" name="IM 241"/>
            <wp:cNvGraphicFramePr/>
            <a:graphic xmlns:a="http://schemas.openxmlformats.org/drawingml/2006/main">
              <a:graphicData uri="http://schemas.openxmlformats.org/drawingml/2006/picture">
                <pic:pic xmlns:pic="http://schemas.openxmlformats.org/drawingml/2006/picture">
                  <pic:nvPicPr>
                    <pic:cNvPr id="241" name="IM 241"/>
                    <pic:cNvPicPr/>
                  </pic:nvPicPr>
                  <pic:blipFill>
                    <a:blip r:embed="rId6"/>
                    <a:stretch>
                      <a:fillRect/>
                    </a:stretch>
                  </pic:blipFill>
                  <pic:spPr>
                    <a:xfrm>
                      <a:off x="0" y="0"/>
                      <a:ext cx="9241634" cy="75380"/>
                    </a:xfrm>
                    <a:prstGeom prst="rect">
                      <a:avLst/>
                    </a:prstGeom>
                  </pic:spPr>
                </pic:pic>
              </a:graphicData>
            </a:graphic>
          </wp:inline>
        </w:drawing>
      </w:r>
    </w:p>
    <w:p>
      <w:pPr>
        <w:spacing w:before="106" w:line="183" w:lineRule="auto"/>
        <w:rPr>
          <w:rFonts w:ascii="Microsoft JhengHei"/>
        </w:rPr>
      </w:pPr>
      <w:r>
        <w:rPr>
          <w:rFonts w:ascii="仿宋" w:hAnsi="仿宋" w:eastAsia="仿宋" w:cs="仿宋"/>
          <w:spacing w:val="-10"/>
          <w:sz w:val="32"/>
          <w:szCs w:val="32"/>
        </w:rPr>
        <w:t>本文书一式</w:t>
      </w:r>
      <w:r>
        <w:rPr>
          <w:rFonts w:hint="eastAsia" w:ascii="仿宋" w:hAnsi="仿宋" w:eastAsia="仿宋" w:cs="仿宋"/>
          <w:spacing w:val="6"/>
          <w:sz w:val="32"/>
          <w:szCs w:val="32"/>
          <w:u w:val="single"/>
          <w:lang w:eastAsia="zh-CN"/>
        </w:rPr>
        <w:t>两</w:t>
      </w:r>
      <w:r>
        <w:rPr>
          <w:rFonts w:ascii="仿宋" w:hAnsi="仿宋" w:eastAsia="仿宋" w:cs="仿宋"/>
          <w:spacing w:val="-10"/>
          <w:sz w:val="32"/>
          <w:szCs w:val="32"/>
        </w:rPr>
        <w:t>份，</w:t>
      </w:r>
      <w:r>
        <w:rPr>
          <w:rFonts w:hint="eastAsia" w:ascii="仿宋" w:hAnsi="仿宋" w:eastAsia="仿宋" w:cs="仿宋"/>
          <w:spacing w:val="20"/>
          <w:sz w:val="32"/>
          <w:szCs w:val="32"/>
          <w:u w:val="single"/>
        </w:rPr>
        <w:t>一</w:t>
      </w:r>
      <w:r>
        <w:rPr>
          <w:rFonts w:ascii="仿宋" w:hAnsi="仿宋" w:eastAsia="仿宋" w:cs="仿宋"/>
          <w:spacing w:val="-10"/>
          <w:sz w:val="32"/>
          <w:szCs w:val="32"/>
        </w:rPr>
        <w:t>份送达，</w:t>
      </w:r>
      <w:r>
        <w:rPr>
          <w:rFonts w:ascii="仿宋" w:hAnsi="仿宋" w:eastAsia="仿宋" w:cs="仿宋"/>
          <w:spacing w:val="-10"/>
          <w:sz w:val="32"/>
          <w:szCs w:val="32"/>
          <w:u w:val="single"/>
        </w:rPr>
        <w:t>一</w:t>
      </w:r>
      <w:r>
        <w:rPr>
          <w:rFonts w:ascii="仿宋" w:hAnsi="仿宋" w:eastAsia="仿宋" w:cs="仿宋"/>
          <w:spacing w:val="-10"/>
          <w:sz w:val="32"/>
          <w:szCs w:val="32"/>
        </w:rPr>
        <w:t>份归档。</w:t>
      </w:r>
    </w:p>
    <w:sectPr>
      <w:headerReference r:id="rId3" w:type="default"/>
      <w:footerReference r:id="rId4" w:type="default"/>
      <w:pgSz w:w="11906" w:h="16838"/>
      <w:pgMar w:top="1457" w:right="1446" w:bottom="1440" w:left="1451" w:header="851" w:footer="13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Microsoft JhengHei">
    <w:panose1 w:val="020B0604030504040204"/>
    <w:charset w:val="88"/>
    <w:family w:val="swiss"/>
    <w:pitch w:val="default"/>
    <w:sig w:usb0="00000087" w:usb1="28AF4000" w:usb2="00000016" w:usb3="00000000" w:csb0="00100009"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897898828"/>
                            <w:docPartObj>
                              <w:docPartGallery w:val="autotext"/>
                            </w:docPartObj>
                          </w:sdtPr>
                          <w:sdtEndPr>
                            <w:rPr>
                              <w:rFonts w:ascii="宋体" w:hAnsi="宋体" w:eastAsia="宋体"/>
                              <w:sz w:val="28"/>
                              <w:szCs w:val="28"/>
                            </w:rPr>
                          </w:sdtEndPr>
                          <w:sdtContent>
                            <w:p>
                              <w:pPr>
                                <w:pStyle w:val="2"/>
                                <w:jc w:val="center"/>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p>
                          </w:sdtContent>
                        </w:sdt>
                        <w:p>
                          <w:pPr>
                            <w:rPr>
                              <w:rFonts w:ascii="宋体" w:hAnsi="宋体" w:eastAsia="宋体"/>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sdt>
                    <w:sdtPr>
                      <w:id w:val="-897898828"/>
                      <w:docPartObj>
                        <w:docPartGallery w:val="autotext"/>
                      </w:docPartObj>
                    </w:sdtPr>
                    <w:sdtEndPr>
                      <w:rPr>
                        <w:rFonts w:ascii="宋体" w:hAnsi="宋体" w:eastAsia="宋体"/>
                        <w:sz w:val="28"/>
                        <w:szCs w:val="28"/>
                      </w:rPr>
                    </w:sdtEndPr>
                    <w:sdtContent>
                      <w:p>
                        <w:pPr>
                          <w:pStyle w:val="2"/>
                          <w:jc w:val="center"/>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p>
                    </w:sdtContent>
                  </w:sdt>
                  <w:p>
                    <w:pPr>
                      <w:rPr>
                        <w:rFonts w:ascii="宋体" w:hAnsi="宋体" w:eastAsia="宋体"/>
                        <w:sz w:val="28"/>
                        <w:szCs w:val="28"/>
                      </w:rPr>
                    </w:pPr>
                  </w:p>
                </w:txbxContent>
              </v:textbox>
            </v:shape>
          </w:pict>
        </mc:Fallback>
      </mc:AlternateContent>
    </w:r>
  </w:p>
  <w:p>
    <w:pPr>
      <w:spacing w:line="196" w:lineRule="exact"/>
      <w:ind w:firstLine="16"/>
      <w:rPr>
        <w:rFonts w:ascii="宋体" w:hAnsi="宋体" w:eastAsia="宋体" w:cs="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B64"/>
    <w:rsid w:val="00011250"/>
    <w:rsid w:val="0006458B"/>
    <w:rsid w:val="001B09C8"/>
    <w:rsid w:val="00272CCB"/>
    <w:rsid w:val="003A066B"/>
    <w:rsid w:val="00411704"/>
    <w:rsid w:val="0042018D"/>
    <w:rsid w:val="00421F22"/>
    <w:rsid w:val="005F7EE0"/>
    <w:rsid w:val="00695479"/>
    <w:rsid w:val="006D3373"/>
    <w:rsid w:val="00765618"/>
    <w:rsid w:val="007D7DAD"/>
    <w:rsid w:val="00812C37"/>
    <w:rsid w:val="009113AF"/>
    <w:rsid w:val="009964E4"/>
    <w:rsid w:val="00A166EC"/>
    <w:rsid w:val="00AC1222"/>
    <w:rsid w:val="00AE72B4"/>
    <w:rsid w:val="00B34642"/>
    <w:rsid w:val="00B71E1E"/>
    <w:rsid w:val="00CC1344"/>
    <w:rsid w:val="00D50B64"/>
    <w:rsid w:val="00E450A1"/>
    <w:rsid w:val="00EA1240"/>
    <w:rsid w:val="00F745B0"/>
    <w:rsid w:val="00F967E2"/>
    <w:rsid w:val="04A15809"/>
    <w:rsid w:val="081D2939"/>
    <w:rsid w:val="0CB06EE6"/>
    <w:rsid w:val="193A32DB"/>
    <w:rsid w:val="281700FA"/>
    <w:rsid w:val="29235B3A"/>
    <w:rsid w:val="2B1F31E7"/>
    <w:rsid w:val="2F7E32B9"/>
    <w:rsid w:val="30206724"/>
    <w:rsid w:val="30AA3BA7"/>
    <w:rsid w:val="36211684"/>
    <w:rsid w:val="36B17824"/>
    <w:rsid w:val="36D2381C"/>
    <w:rsid w:val="377759CE"/>
    <w:rsid w:val="380E198C"/>
    <w:rsid w:val="3E0B273F"/>
    <w:rsid w:val="3E1A64EC"/>
    <w:rsid w:val="400905AC"/>
    <w:rsid w:val="40C80FE3"/>
    <w:rsid w:val="43DF7957"/>
    <w:rsid w:val="461865CE"/>
    <w:rsid w:val="52CB2131"/>
    <w:rsid w:val="55D0407C"/>
    <w:rsid w:val="57FA3DA1"/>
    <w:rsid w:val="584C43C2"/>
    <w:rsid w:val="5FB75F36"/>
    <w:rsid w:val="60080C05"/>
    <w:rsid w:val="64D55674"/>
    <w:rsid w:val="6E317967"/>
    <w:rsid w:val="6FD47A13"/>
    <w:rsid w:val="784C1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table" w:customStyle="1" w:styleId="6">
    <w:name w:val="Table Normal"/>
    <w:unhideWhenUsed/>
    <w:qFormat/>
    <w:uiPriority w:val="0"/>
    <w:rPr>
      <w:rFonts w:ascii="Arial" w:hAnsi="Arial" w:cs="Arial"/>
      <w:kern w:val="0"/>
      <w:sz w:val="20"/>
      <w:szCs w:val="20"/>
    </w:rPr>
    <w:tblPr>
      <w:tblCellMar>
        <w:top w:w="0" w:type="dxa"/>
        <w:left w:w="0" w:type="dxa"/>
        <w:bottom w:w="0" w:type="dxa"/>
        <w:right w:w="0" w:type="dxa"/>
      </w:tblCellMar>
    </w:tblPr>
  </w:style>
  <w:style w:type="character" w:customStyle="1" w:styleId="7">
    <w:name w:val="页眉 字符"/>
    <w:basedOn w:val="5"/>
    <w:link w:val="3"/>
    <w:qFormat/>
    <w:uiPriority w:val="99"/>
    <w:rPr>
      <w:rFonts w:ascii="Arial" w:hAnsi="Arial" w:eastAsia="Arial" w:cs="Arial"/>
      <w:snapToGrid w:val="0"/>
      <w:color w:val="000000"/>
      <w:kern w:val="0"/>
      <w:sz w:val="18"/>
      <w:szCs w:val="18"/>
    </w:rPr>
  </w:style>
  <w:style w:type="character" w:customStyle="1" w:styleId="8">
    <w:name w:val="页脚 字符"/>
    <w:basedOn w:val="5"/>
    <w:link w:val="2"/>
    <w:qFormat/>
    <w:uiPriority w:val="99"/>
    <w:rPr>
      <w:rFonts w:ascii="Arial" w:hAnsi="Arial" w:eastAsia="Arial" w:cs="Arial"/>
      <w:snapToGrid w:val="0"/>
      <w:color w:val="000000"/>
      <w:kern w:val="0"/>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1188</Words>
  <Characters>1249</Characters>
  <Lines>13</Lines>
  <Paragraphs>3</Paragraphs>
  <TotalTime>108</TotalTime>
  <ScaleCrop>false</ScaleCrop>
  <LinksUpToDate>false</LinksUpToDate>
  <CharactersWithSpaces>1548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2021-11-29T08:30:00Z</dcterms:created>
  <dc:creator>李海晖</dc:creator>
  <cp:lastModifiedBy>施婉弘</cp:lastModifiedBy>
  <cp:lastPrinted>2024-11-04T07:52:00Z</cp:lastPrinted>
  <dcterms:modified xsi:type="dcterms:W3CDTF">2024-12-05T03:12:37Z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1B69AC5EE4874CB690542F648C2CCDCC</vt:lpwstr>
  </property>
</Properties>
</file>